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39" w:rsidRPr="00E00F39" w:rsidRDefault="00E00F39" w:rsidP="00E00F39">
      <w:pPr>
        <w:spacing w:after="0" w:line="240" w:lineRule="auto"/>
        <w:jc w:val="center"/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</w:pPr>
      <w:r w:rsidRPr="00E00F39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>Муниципальное бюджетное вечернее (сменное)</w:t>
      </w:r>
    </w:p>
    <w:p w:rsidR="00E00F39" w:rsidRPr="00E00F39" w:rsidRDefault="00E00F39" w:rsidP="00E00F39">
      <w:pPr>
        <w:spacing w:after="0" w:line="240" w:lineRule="auto"/>
        <w:jc w:val="center"/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</w:pPr>
      <w:r w:rsidRPr="00E00F39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 xml:space="preserve">общеобразовательное учреждение вечерняя (сменная) общеобразовательная </w:t>
      </w:r>
      <w:proofErr w:type="gramStart"/>
      <w:r w:rsidRPr="00E00F39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>школа  Невьянского</w:t>
      </w:r>
      <w:proofErr w:type="gramEnd"/>
      <w:r w:rsidRPr="00E00F39">
        <w:rPr>
          <w:rFonts w:ascii="Arial" w:eastAsiaTheme="minorEastAsia" w:hAnsi="Arial" w:cs="Arial"/>
          <w:b/>
          <w:i/>
          <w:sz w:val="24"/>
          <w:szCs w:val="24"/>
          <w:u w:val="single"/>
          <w:lang w:eastAsia="ru-RU"/>
        </w:rPr>
        <w:t xml:space="preserve"> городского округа</w:t>
      </w:r>
    </w:p>
    <w:p w:rsidR="00E00F39" w:rsidRPr="00E00F39" w:rsidRDefault="00E00F39" w:rsidP="00E00F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8"/>
          <w:lang w:eastAsia="ru-RU"/>
        </w:rPr>
      </w:pPr>
      <w:bookmarkStart w:id="0" w:name="_GoBack"/>
      <w:r w:rsidRPr="00E00F39">
        <w:rPr>
          <w:rFonts w:ascii="Times New Roman" w:eastAsia="Times New Roman" w:hAnsi="Times New Roman" w:cs="Times New Roman"/>
          <w:b/>
          <w:i/>
          <w:sz w:val="40"/>
          <w:szCs w:val="28"/>
          <w:lang w:eastAsia="ru-RU"/>
        </w:rPr>
        <w:t>Мероприятия по</w:t>
      </w:r>
      <w:r w:rsidRPr="00E00F39">
        <w:rPr>
          <w:rFonts w:ascii="Times New Roman" w:hAnsi="Times New Roman" w:cs="Times New Roman"/>
          <w:b/>
          <w:i/>
          <w:spacing w:val="2"/>
          <w:sz w:val="40"/>
          <w:szCs w:val="28"/>
          <w:shd w:val="clear" w:color="auto" w:fill="FFFFFF"/>
        </w:rPr>
        <w:t xml:space="preserve"> выявлению и развитию талантов у обучающихся</w:t>
      </w:r>
    </w:p>
    <w:tbl>
      <w:tblPr>
        <w:tblW w:w="17636" w:type="dxa"/>
        <w:tblCellSpacing w:w="7" w:type="dxa"/>
        <w:tblInd w:w="-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82"/>
        <w:gridCol w:w="7854"/>
      </w:tblGrid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bookmarkEnd w:id="0"/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показателей оценки ОМСУ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учету участников школьного и муниципального этапов ВСОШ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учету иных формы развития образовательных (предметных, учебных) достижений школьников (за исключением ВСОШ)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охвату обучающихся дополнительным образованием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учету обучающихся –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осуществлению межмуниципального, сетевого взаимодействия по вопросу выявления, поддержки и развития способностей и талантов у детей и молодежи, в том числе с организациями ВО и ПОО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учету педагогических работников, прошедших специализированную подготовку по направлению "Выявление, поддержка и развитие способностей и талантов у детей и молодежи"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осуществлению психолого-педагогического сопровождения способных детей и талантливой молодежи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методов сбора информации 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учете участников школьного и иных этапов ВСОШ, учете иных формы развития образовательных (предметных, учебных) достижений школьников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охвате обучающихся дополнительным образованием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0F39" w:rsidRPr="00E00F39" w:rsidTr="00E00F39">
        <w:trPr>
          <w:tblCellSpacing w:w="7" w:type="dxa"/>
        </w:trPr>
        <w:tc>
          <w:tcPr>
            <w:tcW w:w="9761" w:type="dxa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иных данных по направлению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0F39" w:rsidRPr="00E00F39" w:rsidRDefault="00E00F39" w:rsidP="00E00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26F1" w:rsidRDefault="008E26F1"/>
    <w:sectPr w:rsidR="008E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39"/>
    <w:rsid w:val="008E26F1"/>
    <w:rsid w:val="00E0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1336"/>
  <w15:chartTrackingRefBased/>
  <w15:docId w15:val="{162DC228-C3A8-406F-9320-8CD3565D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2022-06-21T07:16:00Z</dcterms:created>
  <dcterms:modified xsi:type="dcterms:W3CDTF">2022-06-21T07:19:00Z</dcterms:modified>
</cp:coreProperties>
</file>